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761265" cy="94488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6761265" cy="944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32.4pt;height:744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</w:t>
      </w:r>
      <w:r>
        <w:rPr>
          <w:rFonts w:ascii="Times New Roman" w:hAnsi="Times New Roman" w:cs="Times New Roman"/>
          <w:sz w:val="24"/>
          <w:szCs w:val="24"/>
        </w:rPr>
        <w:t xml:space="preserve"> МКОУ «Ильменская СОШ»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Руднянского муниципального района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</w:t>
      </w:r>
      <w:r>
        <w:rPr>
          <w:rFonts w:ascii="Times New Roman" w:hAnsi="Times New Roman" w:cs="Times New Roman"/>
          <w:sz w:val="24"/>
          <w:szCs w:val="24"/>
        </w:rPr>
        <w:t xml:space="preserve">ской области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>
        <w:rPr>
          <w:rFonts w:ascii="Times New Roman" w:hAnsi="Times New Roman" w:cs="Times New Roman"/>
          <w:sz w:val="24"/>
          <w:szCs w:val="24"/>
        </w:rPr>
        <w:t xml:space="preserve">.07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166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t xml:space="preserve"> </w:t>
      </w:r>
      <w: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порядке получения, учета, хранения, заполнения и выдачи документов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МКОУ «Ильменская СОШ»</w:t>
      </w: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 xml:space="preserve">уднянского муниципального района Волгоградской области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ст.60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№273-ФЗ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Федерации», приказа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от 14 февраля 2014г. №115 «Об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заполнения, учета и выдачи аттестатов об основном общем и среднем 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и их дубликатов».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Данное Положение определяет порядок заполнения и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аттестатов об основном общем образовании и аттестатов о среднем 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образовании, выдаваемых лицам, успешно прошедшим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итоговую аттестацию, и дубликатов таких аттестатов, а также порядок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таких аттестатов и их дубликатов указанным лицам (далее – Порядок),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требования к организации учета бланков указанных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документов, а также правила выдачи аттестатов, приложений к ним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дубликатов.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Образцы аттестатов и приложений к ним, описание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документов и приложений к ним, порядок заполнения, учета и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указанных документов и их дубликатов устанавливаются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и науки Российской Федерации.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Заполнение бланков аттестатов и приложений к ним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2.1. С момента получения бланков аттестатов и приложений к ним 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выдачи аттестатов выпускникам указанные документы хранятся в сейфе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школы, который несет персональную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сохранность этих документов.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Издается приказ по школе о подготовке к выдаче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образца, в котором утверждаются лица, ответственные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оформление книг выдачи документов об образовании, за 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аттестатов.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Бланки аттестатов и приложений к ним заполняются на 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языке с помощью печатных устройств электронной вычислительной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(шрифтом черного цвета), в том числе с использованием компьютерного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модуля заполнения аттестатов и приложений к ним, позволяющего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автоматически формировать электронную Книгу для учета и записи выданных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аттестатов, в соответствии с приказом Министерства образования и науки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от 14 февраля 2014г. №115 «Об утверждении Порядка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заполнения, учета и выдачи аттестатов об основном общем и среднем общем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образовании и их дубликатов»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Форма получения образования в аттестатах и приложениях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указывается.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Подписи директора школы на аттестате и приложении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идентичными.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Подписание документов факсимильной подписью не допускается.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 и приложение к нему могут быть подписаны исполняющим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обязанности директора школы или лицом, уполномоченным руководителем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основании соответствующего приказа. При этом перед надписью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"Руководитель" указывается символ "/" (косая черта).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Заполненные бланки аттестатов и приложений скрепляются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печатью школы. Оттиск печати должен быть ясным, четким и легко читаемым.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Бланки аттестатов и приложений после их заполнения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 тщательно проверены на точность и безошибочность внесенных в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записей. Не допускаются подчистки, пропуски строк.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Бланки, заполненные с ошибками или имеющие иные дефекты,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внесенные при заполнении, считаются испорченными при заполнении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подлежат замене. Испорченные при заполнении бланки уничтожаются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порядке.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Дубликаты аттестата и приложений к нему заполняются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требованиями к заполнению аттестата и приложений к нему,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предусмотренными настоящим Положением. В дубликаты аттестата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приложений вносятся записи в соответствии с данными, хранящимися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личном деле выпускника, утратившего документ.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В дубликате аттестата после фамилии, имени, отчества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наличии) выпускника указывается год окончания и 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школы, ставится дата выдачи дубликата аттестата. На бланках титула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аттестата и приложений справа в верхнем углу ставится штамп «Дубликат».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Учет аттестатов и приложений к ним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Бланки хранятся в школе, как документы строгой отчетности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учитываются по специальному реестру.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Передача приобретенных школой, бланков в другие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осуществляющие образовательную деятельность, не допускается.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Для учета выданных аттестатов, приложений к ним, дубликатов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аттестатов и дубликатов приложений к аттестатам в школе, ведется книга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выданных документов об образовании (далее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книга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регистрации).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Книга регистрации ведется отдельно по каждому уровню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и содержит следующие сведения: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учетной записи (по порядку);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фамилию, имя, отчество (при наличии) выпускника;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получения аттестата (дубликата аттестата, дубликата приложения к аттестату)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доверенности - также фамилию, имя и отчество (при наличии)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которому выдан документ;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 рождения выпускника;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нумерацию бланка аттестата (бланка дубликата аттестата);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наименования учебных предметов и итоговые отметки выпускника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ним;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 и номер приказа о выдаче аттестата (дубликата аттестата,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дубликата приложения к аттестату);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выдавшего аттестат (дубликат аттестата,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дубликат приложения к аттестату);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получателя аттестата (если документ выдан лично выпускнику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по доверенности), либо дату и номер почтового отправления (если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 направлен через операторов почтовой связи общего пользования);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 выдачи аттестата (дубликата аттестата, дубликата приложения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аттестату).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выдаче дубликата аттестата и дубликата приложения к аттестату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отмечаются учетный номер записи и дата выдачи оригинала, нумерация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бланка оригинала. При этом отметка о выдаче дубликата аттестата делается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напротив учетного номера записи выдачи оригинала.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При обнаружении ошибок, допущенных при заполнении аттестата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одного из приложений, в год окончания выпускником школы, 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нового аттестата или приложения взамен испорченного фиксируется в книге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за новым номером учетной записи. При этом напротив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сделанной учетной записи делается пометка "испорчен, аннулирован,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новый аттестат" с указанием номера учетной записи аттестата, выданного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взамен испорченного.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 книгу регистрации список выпускников текущего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вносится в алфавитном порядке отдельно по каждому классу (со сквозной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нумерацией), номера бланков - в возрастающем порядке.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Записи в книге регистрации заверяются подписями классного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руководителя, директора школы, и печатью школы отдельно по 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классу.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Каждая запись о выдаче дубликата аттестата, 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аттестату заверяется подписью директора школы и скрепляется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печатью.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Исправления, допущенные при заполнении книги 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заверяются директором школы, и скрепляются печатью организации.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Листы книги регистрации пронумеровываются, книга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рошнуровывается, скрепляется печатью школы, с указанием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листов в книге регистрации и хранится как документ строгой отчетности.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Бланки аттестатов, Книги для учета бланков об основном общем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среднем общем образовании, а также все документы хранятся в сейфе, 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смене руководителя передаются новому руководителю по акту, 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состояние хранения, учета и наличия бланков с указанием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номеров.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О каждом случае пропажи бланков аттестатов школа уведомляет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органы внутренних дел и Комитет образованию ММР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указанием номеров пропавших бланков и изложением обстоятельств,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которых произошла пропажа.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Выдача аттестатов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Аттестат об основном общем образовании и приложения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выдаются лицам, успешно прошедшим государственную итоговую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аттестацию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выпускник 9 класса).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 с отличием и приложения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нему выдаются выпускникам 9 класса, имеющим итоговые отметки «отлично»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всем предметам учебного плана, изучавшимся на уровне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 о среднем общем образовании и приложения к нему выдаются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лицам, успешно прошедшим государственную итоговую аттестацию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программам среднего общего образования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выпускник 11 класса).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 о среднем общем образовании с отличием и приложения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нему выдаются выпускникам 11 класса, имеющим итоговые отметки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«отлично» по всем предметам учебного плана, изучавшимся на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Аттестаты и приложения к ним выдаются выпускникам 9 и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классов на основании решения педагогического совета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Аттестаты выдаются выпускникам не позднее десяти дней после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издания приказа об окончании ими образовательной организации и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аттестатов.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Аттестат выдается под личную подпись выпускнику школы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предъявлении им документа, удостоверяющего личность, либо родителям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(законным представителям) на основании документов, удостоверяющих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личность, либо иному лицу на основании документа, 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личность, и оформленной в установленном порядке доверенности.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Аттестаты, не полученные выпускниками в год 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хранятся в школе до их востребования.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 обнаружении ошибок, допущенных при заполнении аттестата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одного из приложений, в год окончания выпускником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выдается аттестат или приложение (приложения) к аттестату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новом бланке взамен испорченного. Выдача нового аттестата или 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взамен испорченного регистрируется в Книге для учета и записи выданных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аттестатов за новым номером учетной записи. При этом напротив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сделанной учетной записи делается пометка «испорчен, аннулирован,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новый аттестат» с указанием номера учетной записи аттестата, выданного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взамен испорченного.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Дубликат аттестата выдается школой в случае его утраты, порчи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(повреждения).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утрате, порче (повреждении) только аттестата выдаются дубликат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аттестата и дубликаты приложений к нему, при этом сохранившиеся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подлинники приложений к аттестату изымаются и уничтожаются.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утраты, порчи (повреждения) только приложения взамен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выдается дубликат приложения, на котором проставляются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сохранившегося аттестата и дата выдачи дубликата приложения.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заполнения дубликата приложения к аттестату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дубликат аттестата выдается без приложения к нему.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Выдача дубликата аттестата или приложений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основании письменного заявления выпускника: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утрате аттестата или приложения – с изложением обстоятельств утраты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аттестата или приложения, а также приложением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подтверждающего факт утраты (справки из органов внутренних дел,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охраны, объявления в газете и других);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порче аттестата или приложения, при обнаружении ошибки, допущенной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заполнении, – с изложением обстоятельств и характера повреждений,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исключающих возможность дальнейшего использования или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допущенных ошибок, с приложением поврежденного (испорченного)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аттестата или приложения, которые подлежат уничтожению.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выдаче или отказ в выдаче дубликата аттестата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приложения принимается школой в месячный срок со дня подачи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О выдаче дубликата аттестата или дубликатов приложений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школой издается приказ. Копия приказа, заявление выпускника и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основания для выдачи дубликата хранятся вместе с личными делами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выпускников.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В случае изменения наименования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дубликат аттестата и (или) приложения выдается вместе с документом,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подтверждающим изменение наименования образовательной организации.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Дубликаты аттестатов и приложений выдаются на бланках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образца, действующего в период обращения о выдаче дубликата, 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года окончания выпускником школы.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В момент выдачи выпускникам 11 классов аттестатов о среднем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общем образовании им возвращаются аттестаты об основном 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образовании, хранящиеся в школе.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Учет и хранение бланков аттестатов и приложений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 момента получения бланков аттестатов и приложений к ним 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выдачи аттестатов выпускникам указанные документы хранятся в сейфе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школы, который несет персональную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сохранность этих документов.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Не использованные в текущем году бланки аттестатов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приложений, оставшиеся после выдачи аттестатов выпускникам, хранятся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Бланки аттестатов и приложений, испорченные при заполнении,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подлежат списанию и уничтожению по решению создаваемой в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под председательством директора школы. Комиссия составляет 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двух экземплярах. В акте указываются количество (числом и прописью)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номера уничтожаемых бланков аттестатов и приложений. Испорченные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документы вместе актом прикладываются к документам, где номера титулов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аттестатов вырезаются и наклеиваются на отдельный лист бумаги,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прилагается к первому экземпляру акта.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Лица, назначенные директором школы ответственными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хранение, учет и выдачу бланков аттестатов (или сам руководитель),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основании накладной принимают бланки твердых обложек и титулов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аттестатов, приложений по количеству и качеству, проверяют 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дефектов.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Учет бланков аттестатов и приложений ведется по 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уровню общего образования и по каждому виду документа отдельно,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Книге учета бланков аттестатов как на бумажном носителе,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и в электронном виде.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Книга учета бланков аттестатов включает следующие сведения: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5.6.1. При учете полученных бланков аттестатов: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учетной записи;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организации-изготовителя;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получения бланков аттестатов;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полученных бланков аттестатов, в том числе титулов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указанием типографских номеров), твердых обложек, приложений;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5.6.2. При учете выданных бланков аттестатов: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учетной записи;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выдачи бланков аттестатов;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выданных бланков аттестатов, в том числе титулов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указанием типографских номеров), твердых обложек, приложений;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5.6.3. При учете остатков бланков аттестатов: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остаток бланков аттестатов на 1 января текущего года;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приобретённых бланков аттестатов в текущем году;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израсходованных бланков аттестатов (приложений)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текущем году - всего, из них: выдано выпускникам текущего года, выдано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взамен испорченных, выдано дубликатов;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бланков аттестатов (приложений), утраченных (или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испорченных) в силу различных причин (утеряно, похищено, испорчено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наводнении, аварийных и техногенных ситуациях);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остаток бланков аттестатов на 31 декабря текущего года;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подпись ответственного лица с расшифровкой -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отчество (при наличии), должность.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Книга учета бланков аттестатов должна быть пронумерована,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прошнурована, иметь на последней странице запись о количестве страниц,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печать и подпись руководителя образовательного учреждения. Записи в Книге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учета бланков аттестатов производятся в хронологическом порядке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совершении каждой операции прихода-расхода лицом, ответственным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получение, хранение, учет и выдачу бланков аттестатов.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Порядок подготовки к выдаче документов государственного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образца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Издается приказ по школе о подготовке к выдаче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образца, в котором утверждаются лица, ответственные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оформление книг выдачи документов об образовании, за 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аттестатов, на классных руководителей возлагается обязанность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сводной ведомости годовых и итоговых отметок по учебным предметам.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Классным руководителем для заполнения бланков аттестатов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приложений к ним составляется сводная ведомость, содержащая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имена и отчества, дату и место рождения (в строгом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паспортными данными или данными свидетельства о рождении), итоговые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отметки выпускников по предметам учебного плана. Итоговая 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на основании годовой и экзаменационной отметки с учетом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полугодовых отметок, а также фактической подготовки выпускника.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Проводится ознакомление выпускников с отметками в сводной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ведомости. Достоверность сведений, внесенных в сводную ведомость,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подтверждается подписью выпускника.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Комиссия из трех человек, в состав которой входит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(заместитель), сверяет правильность заполнения сводной ведомости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классным журналам, учебному плану соответствующих классов.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Классные руководители заполняют книгу выдачи аттестатов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указаниями к данному типу документа, проставляя отметки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со сводной ведомостью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Оценки из сводной ведомости переносятся в аттестат, исправления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отметок не допускаются.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Директор школы вместе с комиссией сверяет отметки сводной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ведомости, отметки в книге выдачи документов об образовании и в 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образовании, расписывается в соответствующем аттестате.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Педагогические работники, заполняющие бланки аттестатов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приложений к ним, должны быть обязательно проинструктированы 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заполнения и хранения бланков аттестатов и приложений к ним.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70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6"/>
    <w:next w:val="64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6"/>
    <w:next w:val="64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6"/>
    <w:next w:val="64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6"/>
    <w:next w:val="64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6"/>
    <w:next w:val="64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6"/>
    <w:next w:val="64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6"/>
    <w:next w:val="64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6"/>
    <w:next w:val="64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46"/>
    <w:next w:val="64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7"/>
    <w:link w:val="32"/>
    <w:uiPriority w:val="10"/>
    <w:rPr>
      <w:sz w:val="48"/>
      <w:szCs w:val="48"/>
    </w:rPr>
  </w:style>
  <w:style w:type="paragraph" w:styleId="34">
    <w:name w:val="Subtitle"/>
    <w:basedOn w:val="646"/>
    <w:next w:val="64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7"/>
    <w:link w:val="34"/>
    <w:uiPriority w:val="11"/>
    <w:rPr>
      <w:sz w:val="24"/>
      <w:szCs w:val="24"/>
    </w:rPr>
  </w:style>
  <w:style w:type="paragraph" w:styleId="36">
    <w:name w:val="Quote"/>
    <w:basedOn w:val="646"/>
    <w:next w:val="64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6"/>
    <w:next w:val="64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7"/>
    <w:link w:val="653"/>
    <w:uiPriority w:val="99"/>
  </w:style>
  <w:style w:type="character" w:styleId="43">
    <w:name w:val="Footer Char"/>
    <w:basedOn w:val="647"/>
    <w:link w:val="655"/>
    <w:uiPriority w:val="99"/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55"/>
    <w:uiPriority w:val="99"/>
  </w:style>
  <w:style w:type="table" w:styleId="47">
    <w:name w:val="Table Grid Light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4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7"/>
    <w:uiPriority w:val="99"/>
    <w:unhideWhenUsed/>
    <w:rPr>
      <w:vertAlign w:val="superscript"/>
    </w:rPr>
  </w:style>
  <w:style w:type="paragraph" w:styleId="176">
    <w:name w:val="endnote text"/>
    <w:basedOn w:val="64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7"/>
    <w:uiPriority w:val="99"/>
    <w:semiHidden/>
    <w:unhideWhenUsed/>
    <w:rPr>
      <w:vertAlign w:val="superscript"/>
    </w:rPr>
  </w:style>
  <w:style w:type="paragraph" w:styleId="179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qFormat/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>
    <w:name w:val="Hyperlink"/>
    <w:basedOn w:val="647"/>
    <w:uiPriority w:val="99"/>
    <w:semiHidden/>
    <w:unhideWhenUsed/>
    <w:rPr>
      <w:color w:val="0000FF" w:themeColor="hyperlink"/>
      <w:u w:val="single"/>
    </w:rPr>
  </w:style>
  <w:style w:type="paragraph" w:styleId="651">
    <w:name w:val="No Spacing"/>
    <w:qFormat/>
    <w:uiPriority w:val="1"/>
    <w:rPr>
      <w:rFonts w:ascii="Calibri" w:hAnsi="Calibri" w:cs="Times New Roman" w:eastAsia="Times New Roman"/>
    </w:rPr>
    <w:pPr>
      <w:spacing w:lineRule="auto" w:line="240" w:after="0"/>
    </w:pPr>
  </w:style>
  <w:style w:type="table" w:styleId="652">
    <w:name w:val="Table Grid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3">
    <w:name w:val="Header"/>
    <w:basedOn w:val="646"/>
    <w:link w:val="65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4" w:customStyle="1">
    <w:name w:val="Верхний колонтитул Знак"/>
    <w:basedOn w:val="647"/>
    <w:link w:val="653"/>
    <w:uiPriority w:val="99"/>
  </w:style>
  <w:style w:type="paragraph" w:styleId="655">
    <w:name w:val="Footer"/>
    <w:basedOn w:val="646"/>
    <w:link w:val="65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6" w:customStyle="1">
    <w:name w:val="Нижний колонтитул Знак"/>
    <w:basedOn w:val="647"/>
    <w:link w:val="655"/>
    <w:uiPriority w:val="99"/>
  </w:style>
  <w:style w:type="paragraph" w:styleId="657">
    <w:name w:val="List Paragraph"/>
    <w:basedOn w:val="646"/>
    <w:qFormat/>
    <w:uiPriority w:val="34"/>
    <w:rPr>
      <w:rFonts w:eastAsiaTheme="minorHAnsi"/>
      <w:lang w:eastAsia="en-US"/>
    </w:rPr>
    <w:pPr>
      <w:contextualSpacing w:val="true"/>
      <w:ind w:left="720"/>
    </w:pPr>
  </w:style>
  <w:style w:type="paragraph" w:styleId="658" w:customStyle="1">
    <w:name w:val="ConsPlusNonformat"/>
    <w:rPr>
      <w:rFonts w:ascii="Courier New" w:hAnsi="Courier New" w:cs="Courier New" w:eastAsia="Times New Roman"/>
      <w:sz w:val="20"/>
      <w:szCs w:val="20"/>
    </w:rPr>
    <w:pPr>
      <w:spacing w:lineRule="auto" w:line="240" w:after="0"/>
      <w:widowControl w:val="off"/>
    </w:pPr>
  </w:style>
  <w:style w:type="paragraph" w:styleId="659">
    <w:name w:val="Balloon Text"/>
    <w:basedOn w:val="646"/>
    <w:link w:val="66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60" w:customStyle="1">
    <w:name w:val="Текст выноски Знак"/>
    <w:basedOn w:val="647"/>
    <w:link w:val="65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2AC7330-A4E9-425D-8054-D60ABE5F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Дарья Ендовицкая</cp:lastModifiedBy>
  <cp:revision>93</cp:revision>
  <dcterms:created xsi:type="dcterms:W3CDTF">2012-12-05T12:39:00Z</dcterms:created>
  <dcterms:modified xsi:type="dcterms:W3CDTF">2022-01-12T13:40:41Z</dcterms:modified>
</cp:coreProperties>
</file>