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Rule="auto" w:line="240" w:after="0"/>
        <w:rPr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917940" cy="926728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917940" cy="9267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44.7pt;height:729.7pt;" stroked="false">
                <v:path textboxrect="0,0,0,0"/>
                <v:imagedata r:id="rId11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984615" cy="9629775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984615" cy="962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50.0pt;height:758.2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ребенка;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 Формировать установки на учебную, познавательную, творческую активность;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 Развивать навыки рефлексии;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 Создавать ситуации успеха для каждого ученика, повышать его самооценку;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 Стимулировать стремление к самосовершенствованию;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 Формировать ценностное отношение к процессу участия в учебной деятельности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 творческой работе, а не к его результату.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 Содействовать успешной социализации учащихся;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 Укреплять взаимодействие с семьей ученика, повышать заинтересованность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в результатах развития ребенка и совместной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педагогической деятельности со школой.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Портфолио реализует такие функции образовательного процесса: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Диагностическую</w:t>
      </w:r>
      <w:r>
        <w:rPr>
          <w:rFonts w:ascii="Times New Roman" w:hAnsi="Times New Roman" w:cs="Times New Roman"/>
          <w:sz w:val="24"/>
          <w:szCs w:val="24"/>
        </w:rPr>
        <w:t xml:space="preserve">: фиксируются изменения, и рост показателей за определенный период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времени.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Целеполагания:</w:t>
      </w:r>
      <w:r>
        <w:rPr>
          <w:rFonts w:ascii="Times New Roman" w:hAnsi="Times New Roman" w:cs="Times New Roman"/>
          <w:sz w:val="24"/>
          <w:szCs w:val="24"/>
        </w:rPr>
        <w:t xml:space="preserve"> поддерживает образовательные цели, сформулированные стандартом.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Мотивационную</w:t>
      </w:r>
      <w:r>
        <w:rPr>
          <w:rFonts w:ascii="Times New Roman" w:hAnsi="Times New Roman" w:cs="Times New Roman"/>
          <w:sz w:val="24"/>
          <w:szCs w:val="24"/>
        </w:rPr>
        <w:t xml:space="preserve">: поощряет учащихся, педагогов и родителей к взаимодействию в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достижении положительных результатов.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Содержательную</w:t>
      </w:r>
      <w:r>
        <w:rPr>
          <w:rFonts w:ascii="Times New Roman" w:hAnsi="Times New Roman" w:cs="Times New Roman"/>
          <w:sz w:val="24"/>
          <w:szCs w:val="24"/>
        </w:rPr>
        <w:t xml:space="preserve">: максимально раскрывает спектр достижений и выполняемых работ.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Развивающую</w:t>
      </w:r>
      <w:r>
        <w:rPr>
          <w:rFonts w:ascii="Times New Roman" w:hAnsi="Times New Roman" w:cs="Times New Roman"/>
          <w:sz w:val="24"/>
          <w:szCs w:val="24"/>
        </w:rPr>
        <w:t xml:space="preserve">: обеспечивает непрерывность процесса развития, обучения и воспитания от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класса к классу.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Рейтинговую:</w:t>
      </w:r>
      <w:r>
        <w:rPr>
          <w:rFonts w:ascii="Times New Roman" w:hAnsi="Times New Roman" w:cs="Times New Roman"/>
          <w:sz w:val="24"/>
          <w:szCs w:val="24"/>
        </w:rPr>
        <w:t xml:space="preserve"> показывает диапазон и уровень навыков и умений.</w:t>
      </w:r>
      <w:r/>
    </w:p>
    <w:p>
      <w:pPr>
        <w:spacing w:lineRule="auto" w:lin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3.Порядок формирования Портфолио.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3.1.Портфолио учащегося является одной из составляющих «портрета» выпускника и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играет важную роль для определения вектора его дальнейшего развития и обучения.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3.2.Период составления Портфолио: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1-4 классы начальной школы (приложение 1);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классы уровня основного общего образования, реализующие ФГОС (приложение 2);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классы уровня основного общего образования и среднего общего образования,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реализующие государственные образовательные стандарты (приложение 3)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3.3.Ответственность за организацию формирования Портфолио и систематическое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ознакомление родителей (законных представителей) с его содержанием возлагается на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классного руководителя.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3.4.Портфолио хранится в лицее в течение всего пребывания ребенка в ней. При переводе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ребенка в другое образовательной учреждение Портфолио выдается на руки родителям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(законным представителям) вместе с личным делом и медицинской картой ребенка.</w:t>
      </w:r>
      <w:r/>
    </w:p>
    <w:p>
      <w:pPr>
        <w:spacing w:lineRule="auto" w:lin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Структура Портфолио: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Титульный лист.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РАЗДЕЛ 1. "Мои достижения в учебной деятельности": достижения ученика в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различных предметных областях, результаты стартовой диагностики, промежуточных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итоговых стандартизированных работ по предметам и т.д.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РАЗДЕЛ 2. "Мои достижения в интеллектуально-познавательной и научно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исследовательской деятельности": достижения и успехи в проектной и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исследовательской деятельности, фиксирование достигнутых результатов и т.д.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РАЗДЕЛ 3. «Мои достижения в творческой и спортивной деятельности»: участие в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конкурсах, выставках, фестивалях, фиксирование достигнутых результатов в спорте,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соревнованиях, и т.д.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РАЗДЕЛ 4. "Мир моих увлечений»: интересы и увлечения, режим дня, занятия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внеурочной деятельностью, посещение секций, кружков вне школы, участие в социальных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проектах и акциях и т.д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РАЗДЕЛ 5. «Я в социуме»: участие в социальных проектах и акциях и КТД.</w:t>
      </w:r>
      <w:r/>
    </w:p>
    <w:p>
      <w:pPr>
        <w:spacing w:lineRule="auto" w:lin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Результативность использования технологии «портфолио»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По результатам портфолио каждый год выводится итоговый балл.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В течение всех лет обучения отслеживается динамика накопленной оценки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результатам накопленной оценки, которая формируется на основе материалов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портфолио, в характеристике ученика делаются выводы: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О сформированности у учащегося универсальных и предметных способов действий, а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опорной системы знаний, обеспечивающих ему возможность продолжения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образовании.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 сформированности основ умения учиться, понимаемой как способность к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самоорганизации с целью постановки и решения учебно-познавательных и учебно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практических задач.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Об индивидуальном прогрессе в основных сферах развития личности: мотивационно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смысловой, познавательной, эмоциональной, волевой.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Информация о достигаемых учащимся образовательных результатах допустима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в форме, не представляющей угрозы личности, психологической безопасности</w:t>
      </w:r>
      <w:r/>
    </w:p>
    <w:p>
      <w:pPr>
        <w:spacing w:lineRule="auto" w:lin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эмоциональному статусу учащегося.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425" w:bottom="1134" w:left="567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4604385"/>
                <wp:effectExtent l="0" t="0" r="0" b="0"/>
                <wp:docPr id="3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251950" cy="4604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728.5pt;height:362.5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716645" cy="5940425"/>
                <wp:effectExtent l="0" t="0" r="8255" b="3175"/>
                <wp:docPr id="4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8716645" cy="5940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686.4pt;height:467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5038090"/>
                <wp:effectExtent l="0" t="0" r="0" b="0"/>
                <wp:docPr id="5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9251950" cy="5038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728.5pt;height:396.7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839200" cy="5286375"/>
                <wp:effectExtent l="0" t="0" r="0" b="9525"/>
                <wp:docPr id="6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8839200" cy="5286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696.0pt;height:416.2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5828665"/>
                <wp:effectExtent l="0" t="0" r="0" b="0"/>
                <wp:docPr id="7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9251950" cy="5828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728.5pt;height:458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5274310"/>
                <wp:effectExtent l="0" t="0" r="0" b="0"/>
                <wp:docPr id="8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9251950" cy="527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728.5pt;height:415.3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817610" cy="5940425"/>
                <wp:effectExtent l="0" t="0" r="2540" b="3175"/>
                <wp:docPr id="9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8817610" cy="5940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694.3pt;height:467.8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953500" cy="5572125"/>
                <wp:effectExtent l="0" t="0" r="0" b="9525"/>
                <wp:docPr id="10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8953500" cy="5572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705.0pt;height:438.8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562975" cy="5553075"/>
                <wp:effectExtent l="0" t="0" r="9525" b="9525"/>
                <wp:docPr id="11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8562975" cy="5553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674.2pt;height:437.2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255635" cy="5940425"/>
                <wp:effectExtent l="0" t="0" r="0" b="3175"/>
                <wp:docPr id="12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8255635" cy="5940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650.0pt;height:467.8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109710" cy="5940425"/>
                <wp:effectExtent l="0" t="0" r="0" b="3175"/>
                <wp:docPr id="13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9109710" cy="5940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717.3pt;height:467.8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tabs>
          <w:tab w:val="left" w:pos="1305" w:leader="none"/>
        </w:tabs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1107440"/>
                <wp:effectExtent l="0" t="0" r="0" b="0"/>
                <wp:docPr id="14" name="Рисунок 1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9251950" cy="1107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728.5pt;height:87.2pt;" stroked="false">
                <v:path textboxrect="0,0,0,0"/>
                <v:imagedata r:id="rId24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1701" w:right="1134" w:bottom="85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Courier New">
    <w:panose1 w:val="020704090202050204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ru-RU" w:bidi="ar-SA" w:eastAsia="ru-RU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46"/>
    <w:next w:val="646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647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46"/>
    <w:next w:val="646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47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46"/>
    <w:next w:val="646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47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46"/>
    <w:next w:val="646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47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46"/>
    <w:next w:val="646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47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46"/>
    <w:next w:val="646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47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46"/>
    <w:next w:val="646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47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46"/>
    <w:next w:val="646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47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46"/>
    <w:next w:val="646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47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2">
    <w:name w:val="Title"/>
    <w:basedOn w:val="646"/>
    <w:next w:val="646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647"/>
    <w:link w:val="32"/>
    <w:uiPriority w:val="10"/>
    <w:rPr>
      <w:sz w:val="48"/>
      <w:szCs w:val="48"/>
    </w:rPr>
  </w:style>
  <w:style w:type="paragraph" w:styleId="34">
    <w:name w:val="Subtitle"/>
    <w:basedOn w:val="646"/>
    <w:next w:val="646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47"/>
    <w:link w:val="34"/>
    <w:uiPriority w:val="11"/>
    <w:rPr>
      <w:sz w:val="24"/>
      <w:szCs w:val="24"/>
    </w:rPr>
  </w:style>
  <w:style w:type="paragraph" w:styleId="36">
    <w:name w:val="Quote"/>
    <w:basedOn w:val="646"/>
    <w:next w:val="646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46"/>
    <w:next w:val="646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647"/>
    <w:link w:val="653"/>
    <w:uiPriority w:val="99"/>
  </w:style>
  <w:style w:type="character" w:styleId="43">
    <w:name w:val="Footer Char"/>
    <w:basedOn w:val="647"/>
    <w:link w:val="655"/>
    <w:uiPriority w:val="99"/>
  </w:style>
  <w:style w:type="paragraph" w:styleId="44">
    <w:name w:val="Caption"/>
    <w:basedOn w:val="646"/>
    <w:next w:val="646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655"/>
    <w:uiPriority w:val="99"/>
  </w:style>
  <w:style w:type="table" w:styleId="47">
    <w:name w:val="Table Grid Light"/>
    <w:basedOn w:val="648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48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4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173">
    <w:name w:val="footnote text"/>
    <w:basedOn w:val="646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47"/>
    <w:uiPriority w:val="99"/>
    <w:unhideWhenUsed/>
    <w:rPr>
      <w:vertAlign w:val="superscript"/>
    </w:rPr>
  </w:style>
  <w:style w:type="paragraph" w:styleId="176">
    <w:name w:val="endnote text"/>
    <w:basedOn w:val="646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47"/>
    <w:uiPriority w:val="99"/>
    <w:semiHidden/>
    <w:unhideWhenUsed/>
    <w:rPr>
      <w:vertAlign w:val="superscript"/>
    </w:rPr>
  </w:style>
  <w:style w:type="paragraph" w:styleId="179">
    <w:name w:val="toc 1"/>
    <w:basedOn w:val="646"/>
    <w:next w:val="646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46"/>
    <w:next w:val="646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46"/>
    <w:next w:val="646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46"/>
    <w:next w:val="646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46"/>
    <w:next w:val="646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46"/>
    <w:next w:val="646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46"/>
    <w:next w:val="646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46"/>
    <w:next w:val="646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46"/>
    <w:next w:val="646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46"/>
    <w:next w:val="646"/>
    <w:uiPriority w:val="99"/>
    <w:unhideWhenUsed/>
    <w:pPr>
      <w:spacing w:after="0" w:afterAutospacing="0"/>
    </w:pPr>
  </w:style>
  <w:style w:type="paragraph" w:styleId="646" w:default="1">
    <w:name w:val="Normal"/>
    <w:qFormat/>
  </w:style>
  <w:style w:type="character" w:styleId="647" w:default="1">
    <w:name w:val="Default Paragraph Font"/>
    <w:uiPriority w:val="1"/>
    <w:semiHidden/>
    <w:unhideWhenUsed/>
  </w:style>
  <w:style w:type="table" w:styleId="648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49" w:default="1">
    <w:name w:val="No List"/>
    <w:uiPriority w:val="99"/>
    <w:semiHidden/>
    <w:unhideWhenUsed/>
  </w:style>
  <w:style w:type="character" w:styleId="650">
    <w:name w:val="Hyperlink"/>
    <w:basedOn w:val="647"/>
    <w:uiPriority w:val="99"/>
    <w:semiHidden/>
    <w:unhideWhenUsed/>
    <w:rPr>
      <w:color w:val="0000FF" w:themeColor="hyperlink"/>
      <w:u w:val="single"/>
    </w:rPr>
  </w:style>
  <w:style w:type="paragraph" w:styleId="651">
    <w:name w:val="No Spacing"/>
    <w:qFormat/>
    <w:uiPriority w:val="1"/>
    <w:rPr>
      <w:rFonts w:ascii="Calibri" w:hAnsi="Calibri" w:cs="Times New Roman" w:eastAsia="Times New Roman"/>
    </w:rPr>
    <w:pPr>
      <w:spacing w:lineRule="auto" w:line="240" w:after="0"/>
    </w:pPr>
  </w:style>
  <w:style w:type="table" w:styleId="652">
    <w:name w:val="Table Grid"/>
    <w:basedOn w:val="64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53">
    <w:name w:val="Header"/>
    <w:basedOn w:val="646"/>
    <w:link w:val="65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54" w:customStyle="1">
    <w:name w:val="Верхний колонтитул Знак"/>
    <w:basedOn w:val="647"/>
    <w:link w:val="653"/>
    <w:uiPriority w:val="99"/>
  </w:style>
  <w:style w:type="paragraph" w:styleId="655">
    <w:name w:val="Footer"/>
    <w:basedOn w:val="646"/>
    <w:link w:val="656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56" w:customStyle="1">
    <w:name w:val="Нижний колонтитул Знак"/>
    <w:basedOn w:val="647"/>
    <w:link w:val="655"/>
    <w:uiPriority w:val="99"/>
  </w:style>
  <w:style w:type="paragraph" w:styleId="657">
    <w:name w:val="List Paragraph"/>
    <w:basedOn w:val="646"/>
    <w:qFormat/>
    <w:uiPriority w:val="34"/>
    <w:rPr>
      <w:rFonts w:eastAsiaTheme="minorHAnsi"/>
      <w:lang w:eastAsia="en-US"/>
    </w:rPr>
    <w:pPr>
      <w:contextualSpacing w:val="true"/>
      <w:ind w:left="720"/>
    </w:pPr>
  </w:style>
  <w:style w:type="paragraph" w:styleId="658" w:customStyle="1">
    <w:name w:val="ConsPlusNonformat"/>
    <w:rPr>
      <w:rFonts w:ascii="Courier New" w:hAnsi="Courier New" w:cs="Courier New" w:eastAsia="Times New Roman"/>
      <w:sz w:val="20"/>
      <w:szCs w:val="20"/>
    </w:rPr>
    <w:pPr>
      <w:spacing w:lineRule="auto" w:line="240" w:after="0"/>
      <w:widowControl w:val="off"/>
    </w:pPr>
  </w:style>
  <w:style w:type="paragraph" w:styleId="659">
    <w:name w:val="Balloon Text"/>
    <w:basedOn w:val="646"/>
    <w:link w:val="660"/>
    <w:uiPriority w:val="99"/>
    <w:semiHidden/>
    <w:unhideWhenUsed/>
    <w:rPr>
      <w:rFonts w:ascii="Segoe UI" w:hAnsi="Segoe UI" w:cs="Segoe UI"/>
      <w:sz w:val="18"/>
      <w:szCs w:val="18"/>
    </w:rPr>
    <w:pPr>
      <w:spacing w:lineRule="auto" w:line="240" w:after="0"/>
    </w:pPr>
  </w:style>
  <w:style w:type="character" w:styleId="660" w:customStyle="1">
    <w:name w:val="Текст выноски Знак"/>
    <w:basedOn w:val="647"/>
    <w:link w:val="659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171B890E-7FEC-4AF6-B8B8-97BC4888B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wuui</dc:creator>
  <cp:keywords/>
  <dc:description/>
  <cp:lastModifiedBy>Дарья Ендовицкая</cp:lastModifiedBy>
  <cp:revision>95</cp:revision>
  <dcterms:created xsi:type="dcterms:W3CDTF">2012-12-05T12:39:00Z</dcterms:created>
  <dcterms:modified xsi:type="dcterms:W3CDTF">2022-01-12T13:51:55Z</dcterms:modified>
</cp:coreProperties>
</file>